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E82C" w14:textId="55AA07B9" w:rsidR="00C569E1" w:rsidRPr="007D0A03" w:rsidRDefault="00C569E1">
      <w:pPr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7D0A03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ANEXO </w:t>
      </w:r>
      <w:r w:rsidR="007D0A03" w:rsidRPr="007D0A03">
        <w:rPr>
          <w:rFonts w:asciiTheme="majorHAnsi" w:eastAsia="Calibri" w:hAnsiTheme="majorHAnsi" w:cstheme="majorHAnsi"/>
          <w:b/>
          <w:bCs/>
          <w:sz w:val="22"/>
          <w:szCs w:val="22"/>
        </w:rPr>
        <w:t>V</w:t>
      </w:r>
      <w:r w:rsidR="00E133D2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</w:t>
      </w:r>
      <w:r w:rsidR="0064110A">
        <w:rPr>
          <w:rFonts w:asciiTheme="majorHAnsi" w:eastAsia="Calibri" w:hAnsiTheme="majorHAnsi" w:cstheme="majorHAnsi"/>
          <w:b/>
          <w:bCs/>
          <w:sz w:val="22"/>
          <w:szCs w:val="22"/>
        </w:rPr>
        <w:t>–</w:t>
      </w:r>
      <w:r w:rsidR="00E133D2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</w:t>
      </w:r>
      <w:r w:rsidR="0064110A">
        <w:rPr>
          <w:rFonts w:asciiTheme="majorHAnsi" w:eastAsia="Calibri" w:hAnsiTheme="majorHAnsi" w:cstheme="majorHAnsi"/>
          <w:b/>
          <w:bCs/>
          <w:sz w:val="22"/>
          <w:szCs w:val="22"/>
        </w:rPr>
        <w:t>QUADROS DE UNIDADES CURRICULARES OBRIGATÓRIAS E OPTATIVAS A SEREM CURSADAS NO IPB</w:t>
      </w:r>
    </w:p>
    <w:p w14:paraId="563E3B6E" w14:textId="2C7ABBF6" w:rsidR="00C569E1" w:rsidRPr="007D0A03" w:rsidRDefault="00C569E1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3E5724" w14:textId="41476E3C" w:rsidR="00CA5A4A" w:rsidRPr="007D0A03" w:rsidRDefault="00CA5A4A" w:rsidP="00E133D2">
      <w:pPr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sz w:val="22"/>
          <w:szCs w:val="22"/>
        </w:rPr>
        <w:t xml:space="preserve">Os alunos da UTFPR deverão frequentar e obter aprovação </w:t>
      </w:r>
      <w:r w:rsidR="005B2642">
        <w:rPr>
          <w:rFonts w:asciiTheme="majorHAnsi" w:hAnsiTheme="majorHAnsi" w:cstheme="majorHAnsi"/>
          <w:sz w:val="22"/>
          <w:szCs w:val="22"/>
        </w:rPr>
        <w:t>na</w:t>
      </w:r>
      <w:r w:rsidRPr="007D0A03">
        <w:rPr>
          <w:rFonts w:asciiTheme="majorHAnsi" w:hAnsiTheme="majorHAnsi" w:cstheme="majorHAnsi"/>
          <w:sz w:val="22"/>
          <w:szCs w:val="22"/>
        </w:rPr>
        <w:t>s Unidades Curriculares do mestrado em Engenharia Química do IPB, conforme indica</w:t>
      </w:r>
      <w:r w:rsidR="00DA447E">
        <w:rPr>
          <w:rFonts w:asciiTheme="majorHAnsi" w:hAnsiTheme="majorHAnsi" w:cstheme="majorHAnsi"/>
          <w:sz w:val="22"/>
          <w:szCs w:val="22"/>
        </w:rPr>
        <w:t>d</w:t>
      </w:r>
      <w:r w:rsidR="00E133D2">
        <w:rPr>
          <w:rFonts w:asciiTheme="majorHAnsi" w:hAnsiTheme="majorHAnsi" w:cstheme="majorHAnsi"/>
          <w:sz w:val="22"/>
          <w:szCs w:val="22"/>
        </w:rPr>
        <w:t>as</w:t>
      </w:r>
      <w:r w:rsidRPr="007D0A03">
        <w:rPr>
          <w:rFonts w:asciiTheme="majorHAnsi" w:hAnsiTheme="majorHAnsi" w:cstheme="majorHAnsi"/>
          <w:sz w:val="22"/>
          <w:szCs w:val="22"/>
        </w:rPr>
        <w:t xml:space="preserve"> no</w:t>
      </w:r>
      <w:r w:rsidR="00DA447E">
        <w:rPr>
          <w:rFonts w:asciiTheme="majorHAnsi" w:hAnsiTheme="majorHAnsi" w:cstheme="majorHAnsi"/>
          <w:sz w:val="22"/>
          <w:szCs w:val="22"/>
        </w:rPr>
        <w:t xml:space="preserve"> Q</w:t>
      </w:r>
      <w:r w:rsidRPr="007D0A03">
        <w:rPr>
          <w:rFonts w:asciiTheme="majorHAnsi" w:hAnsiTheme="majorHAnsi" w:cstheme="majorHAnsi"/>
          <w:sz w:val="22"/>
          <w:szCs w:val="22"/>
        </w:rPr>
        <w:t xml:space="preserve">uadro 1. As optativas devem, preferencialmente, ser selecionadas entre as unidades curriculares listadas no </w:t>
      </w:r>
      <w:r w:rsidR="00DA447E">
        <w:rPr>
          <w:rFonts w:asciiTheme="majorHAnsi" w:hAnsiTheme="majorHAnsi" w:cstheme="majorHAnsi"/>
          <w:sz w:val="22"/>
          <w:szCs w:val="22"/>
        </w:rPr>
        <w:t>Q</w:t>
      </w:r>
      <w:r w:rsidRPr="007D0A03">
        <w:rPr>
          <w:rFonts w:asciiTheme="majorHAnsi" w:hAnsiTheme="majorHAnsi" w:cstheme="majorHAnsi"/>
          <w:sz w:val="22"/>
          <w:szCs w:val="22"/>
        </w:rPr>
        <w:t>uadro 2.</w:t>
      </w:r>
    </w:p>
    <w:p w14:paraId="72A1A012" w14:textId="77777777" w:rsidR="00CA5A4A" w:rsidRPr="007D0A03" w:rsidRDefault="00CA5A4A" w:rsidP="00CA5A4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D86C1E2" w14:textId="6C5CC6BD" w:rsidR="00CA5A4A" w:rsidRPr="007D0A03" w:rsidRDefault="00CA5A4A" w:rsidP="00CA5A4A">
      <w:pPr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sz w:val="22"/>
          <w:szCs w:val="22"/>
        </w:rPr>
        <w:t xml:space="preserve">Quadro 1 </w:t>
      </w:r>
      <w:r w:rsidR="00DA447E">
        <w:rPr>
          <w:rFonts w:asciiTheme="majorHAnsi" w:hAnsiTheme="majorHAnsi" w:cstheme="majorHAnsi"/>
          <w:sz w:val="22"/>
          <w:szCs w:val="22"/>
        </w:rPr>
        <w:t>–</w:t>
      </w:r>
      <w:r w:rsidRPr="007D0A03">
        <w:rPr>
          <w:rFonts w:asciiTheme="majorHAnsi" w:hAnsiTheme="majorHAnsi" w:cstheme="majorHAnsi"/>
          <w:sz w:val="22"/>
          <w:szCs w:val="22"/>
        </w:rPr>
        <w:t xml:space="preserve"> Unidades Curriculares </w:t>
      </w:r>
      <w:r w:rsidR="005B2642">
        <w:rPr>
          <w:rFonts w:asciiTheme="majorHAnsi" w:hAnsiTheme="majorHAnsi" w:cstheme="majorHAnsi"/>
          <w:sz w:val="22"/>
          <w:szCs w:val="22"/>
        </w:rPr>
        <w:t>a serem cursadas no IPB</w:t>
      </w:r>
      <w:r w:rsidR="00DA447E">
        <w:rPr>
          <w:rFonts w:asciiTheme="majorHAnsi" w:hAnsiTheme="majorHAnsi" w:cstheme="majorHAnsi"/>
          <w:sz w:val="22"/>
          <w:szCs w:val="22"/>
        </w:rPr>
        <w:t>.</w:t>
      </w:r>
    </w:p>
    <w:tbl>
      <w:tblPr>
        <w:tblW w:w="850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33"/>
        <w:gridCol w:w="1190"/>
        <w:gridCol w:w="1077"/>
      </w:tblGrid>
      <w:tr w:rsidR="00CA5A4A" w:rsidRPr="007D0A03" w14:paraId="46CFAAB9" w14:textId="77777777" w:rsidTr="00744076">
        <w:trPr>
          <w:jc w:val="center"/>
        </w:trPr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C8E02D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Unidade Curricular no IPB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4D1FD3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Semestre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AB6B2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ECTS</w:t>
            </w:r>
          </w:p>
        </w:tc>
      </w:tr>
      <w:tr w:rsidR="00CA5A4A" w:rsidRPr="007D0A03" w14:paraId="09CF56A5" w14:textId="77777777" w:rsidTr="00744076">
        <w:trPr>
          <w:jc w:val="center"/>
        </w:trPr>
        <w:tc>
          <w:tcPr>
            <w:tcW w:w="6233" w:type="dxa"/>
            <w:tcBorders>
              <w:left w:val="single" w:sz="2" w:space="0" w:color="000000"/>
              <w:bottom w:val="single" w:sz="2" w:space="0" w:color="000000"/>
            </w:tcBorders>
          </w:tcPr>
          <w:p w14:paraId="27D54FCE" w14:textId="77777777" w:rsidR="00CA5A4A" w:rsidRPr="007D0A03" w:rsidRDefault="00CA5A4A" w:rsidP="00A3676C">
            <w:pPr>
              <w:widowControl w:val="0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iCs/>
                <w:sz w:val="22"/>
                <w:szCs w:val="22"/>
              </w:rPr>
              <w:t>Dissertação / Projeto / Estágio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 w14:paraId="3D634816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1º e 2º S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13AF4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</w:tc>
      </w:tr>
      <w:tr w:rsidR="00CA5A4A" w:rsidRPr="007D0A03" w14:paraId="5F6592D9" w14:textId="77777777" w:rsidTr="00744076">
        <w:trPr>
          <w:jc w:val="center"/>
        </w:trPr>
        <w:tc>
          <w:tcPr>
            <w:tcW w:w="6233" w:type="dxa"/>
            <w:tcBorders>
              <w:left w:val="single" w:sz="2" w:space="0" w:color="000000"/>
              <w:bottom w:val="single" w:sz="4" w:space="0" w:color="auto"/>
            </w:tcBorders>
          </w:tcPr>
          <w:p w14:paraId="723BADAA" w14:textId="77777777" w:rsidR="00CA5A4A" w:rsidRPr="007D0A03" w:rsidRDefault="00CA5A4A" w:rsidP="00A3676C">
            <w:pPr>
              <w:widowControl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Optativa A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4" w:space="0" w:color="auto"/>
            </w:tcBorders>
          </w:tcPr>
          <w:p w14:paraId="768235A9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1ºS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518B9A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</w:tr>
      <w:tr w:rsidR="00CA5A4A" w:rsidRPr="007D0A03" w14:paraId="50FEAD73" w14:textId="77777777" w:rsidTr="00744076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6BF6B11" w14:textId="77777777" w:rsidR="00CA5A4A" w:rsidRPr="007D0A03" w:rsidRDefault="00CA5A4A" w:rsidP="00A3676C">
            <w:pPr>
              <w:widowControl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Optativa B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87B5C06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1ºS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85F46B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</w:tr>
      <w:tr w:rsidR="00CA5A4A" w:rsidRPr="007D0A03" w14:paraId="4CE6750E" w14:textId="77777777" w:rsidTr="00744076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550E2ED" w14:textId="77777777" w:rsidR="00CA5A4A" w:rsidRPr="007D0A03" w:rsidRDefault="00CA5A4A" w:rsidP="00A3676C">
            <w:pPr>
              <w:widowControl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Optativa 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B1E893F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1º ou 2º 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405FB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</w:tr>
    </w:tbl>
    <w:p w14:paraId="40257221" w14:textId="15187DDF" w:rsidR="00CA5A4A" w:rsidRDefault="00CA5A4A" w:rsidP="00CA5A4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7A17F9E" w14:textId="77777777" w:rsidR="00DA447E" w:rsidRPr="007D0A03" w:rsidRDefault="00DA447E" w:rsidP="00CA5A4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7981FDF" w14:textId="77793BC7" w:rsidR="00CA5A4A" w:rsidRPr="007D0A03" w:rsidRDefault="00CA5A4A" w:rsidP="002374AA">
      <w:pPr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sz w:val="22"/>
          <w:szCs w:val="22"/>
        </w:rPr>
        <w:t xml:space="preserve">Quadro 2 </w:t>
      </w:r>
      <w:r w:rsidR="00DA447E">
        <w:rPr>
          <w:rFonts w:asciiTheme="majorHAnsi" w:hAnsiTheme="majorHAnsi" w:cstheme="majorHAnsi"/>
          <w:sz w:val="22"/>
          <w:szCs w:val="22"/>
        </w:rPr>
        <w:t>–</w:t>
      </w:r>
      <w:r w:rsidRPr="007D0A03">
        <w:rPr>
          <w:rFonts w:asciiTheme="majorHAnsi" w:hAnsiTheme="majorHAnsi" w:cstheme="majorHAnsi"/>
          <w:sz w:val="22"/>
          <w:szCs w:val="22"/>
        </w:rPr>
        <w:t xml:space="preserve"> Lista de Unidades Curriculares Optativas do mestrado em Engenharia Química </w:t>
      </w:r>
      <w:r w:rsidR="00DA447E">
        <w:rPr>
          <w:rFonts w:asciiTheme="majorHAnsi" w:hAnsiTheme="majorHAnsi" w:cstheme="majorHAnsi"/>
          <w:sz w:val="22"/>
          <w:szCs w:val="22"/>
        </w:rPr>
        <w:t>–</w:t>
      </w:r>
      <w:r w:rsidRPr="007D0A03">
        <w:rPr>
          <w:rFonts w:asciiTheme="majorHAnsi" w:hAnsiTheme="majorHAnsi" w:cstheme="majorHAnsi"/>
          <w:sz w:val="22"/>
          <w:szCs w:val="22"/>
        </w:rPr>
        <w:t xml:space="preserve"> IPB</w:t>
      </w:r>
      <w:r w:rsidR="00DA447E">
        <w:rPr>
          <w:rFonts w:asciiTheme="majorHAnsi" w:hAnsiTheme="majorHAnsi" w:cstheme="majorHAnsi"/>
          <w:sz w:val="22"/>
          <w:szCs w:val="22"/>
        </w:rPr>
        <w:t>.</w:t>
      </w:r>
    </w:p>
    <w:tbl>
      <w:tblPr>
        <w:tblW w:w="850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33"/>
        <w:gridCol w:w="1190"/>
        <w:gridCol w:w="1077"/>
      </w:tblGrid>
      <w:tr w:rsidR="00CA5A4A" w:rsidRPr="007D0A03" w14:paraId="5DF0778D" w14:textId="77777777" w:rsidTr="00744076">
        <w:trPr>
          <w:jc w:val="center"/>
        </w:trPr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0B9D95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Unidade Curricular no IPB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A92270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Semestre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AFD34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ECTS</w:t>
            </w:r>
          </w:p>
        </w:tc>
      </w:tr>
      <w:tr w:rsidR="00CA5A4A" w:rsidRPr="007D0A03" w14:paraId="0DA81C04" w14:textId="77777777" w:rsidTr="00744076">
        <w:trPr>
          <w:jc w:val="center"/>
        </w:trPr>
        <w:tc>
          <w:tcPr>
            <w:tcW w:w="6233" w:type="dxa"/>
            <w:tcBorders>
              <w:left w:val="single" w:sz="2" w:space="0" w:color="000000"/>
              <w:bottom w:val="single" w:sz="2" w:space="0" w:color="000000"/>
            </w:tcBorders>
          </w:tcPr>
          <w:p w14:paraId="6D2736E2" w14:textId="77777777" w:rsidR="00CA5A4A" w:rsidRPr="007D0A03" w:rsidRDefault="00CA5A4A" w:rsidP="00A3676C">
            <w:pPr>
              <w:widowControl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iCs/>
                <w:sz w:val="22"/>
                <w:szCs w:val="22"/>
              </w:rPr>
              <w:t>Processos de Separação Avançados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 w14:paraId="14717411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1º S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E5C4F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</w:tr>
      <w:tr w:rsidR="00CA5A4A" w:rsidRPr="007D0A03" w14:paraId="01E93DC8" w14:textId="77777777" w:rsidTr="00744076">
        <w:trPr>
          <w:jc w:val="center"/>
        </w:trPr>
        <w:tc>
          <w:tcPr>
            <w:tcW w:w="6233" w:type="dxa"/>
            <w:tcBorders>
              <w:left w:val="single" w:sz="2" w:space="0" w:color="000000"/>
              <w:bottom w:val="single" w:sz="2" w:space="0" w:color="000000"/>
            </w:tcBorders>
          </w:tcPr>
          <w:p w14:paraId="05478CB7" w14:textId="77777777" w:rsidR="00CA5A4A" w:rsidRPr="007D0A03" w:rsidRDefault="00CA5A4A" w:rsidP="00A3676C">
            <w:pPr>
              <w:widowControl w:val="0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iCs/>
                <w:sz w:val="22"/>
                <w:szCs w:val="22"/>
              </w:rPr>
              <w:t>Complementos em Engenharia das Reações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 w14:paraId="24EDF1FE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1ºS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968E0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</w:tr>
      <w:tr w:rsidR="00CA5A4A" w:rsidRPr="007D0A03" w14:paraId="57BE36CC" w14:textId="77777777" w:rsidTr="00744076">
        <w:trPr>
          <w:jc w:val="center"/>
        </w:trPr>
        <w:tc>
          <w:tcPr>
            <w:tcW w:w="6233" w:type="dxa"/>
            <w:tcBorders>
              <w:left w:val="single" w:sz="2" w:space="0" w:color="000000"/>
              <w:bottom w:val="single" w:sz="2" w:space="0" w:color="000000"/>
            </w:tcBorders>
          </w:tcPr>
          <w:p w14:paraId="6BF3E46A" w14:textId="77777777" w:rsidR="00CA5A4A" w:rsidRPr="007D0A03" w:rsidRDefault="00CA5A4A" w:rsidP="00A3676C">
            <w:pPr>
              <w:widowControl w:val="0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iCs/>
                <w:sz w:val="22"/>
                <w:szCs w:val="22"/>
              </w:rPr>
              <w:t>Dinâmica e Controlo de Processos Químicos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</w:tcPr>
          <w:p w14:paraId="068EB0A6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1ºS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B7758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</w:tr>
      <w:tr w:rsidR="00CA5A4A" w:rsidRPr="007D0A03" w14:paraId="623C72B1" w14:textId="77777777" w:rsidTr="00744076">
        <w:trPr>
          <w:jc w:val="center"/>
        </w:trPr>
        <w:tc>
          <w:tcPr>
            <w:tcW w:w="6233" w:type="dxa"/>
            <w:tcBorders>
              <w:left w:val="single" w:sz="2" w:space="0" w:color="000000"/>
              <w:bottom w:val="single" w:sz="4" w:space="0" w:color="auto"/>
            </w:tcBorders>
          </w:tcPr>
          <w:p w14:paraId="3749030E" w14:textId="77777777" w:rsidR="00CA5A4A" w:rsidRPr="007D0A03" w:rsidRDefault="00CA5A4A" w:rsidP="00A3676C">
            <w:pPr>
              <w:widowControl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Introdução à Ciência dos Polímeros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4" w:space="0" w:color="auto"/>
            </w:tcBorders>
          </w:tcPr>
          <w:p w14:paraId="07070CDA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1ºS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84B5BA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</w:tr>
      <w:tr w:rsidR="00CA5A4A" w:rsidRPr="007D0A03" w14:paraId="57DDD66A" w14:textId="77777777" w:rsidTr="00744076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408CD23" w14:textId="77777777" w:rsidR="00CA5A4A" w:rsidRPr="007D0A03" w:rsidRDefault="00CA5A4A" w:rsidP="00A3676C">
            <w:pPr>
              <w:widowControl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Matemática Aplicada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0B29394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1ºS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D462C3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</w:tr>
      <w:tr w:rsidR="00CA5A4A" w:rsidRPr="007D0A03" w14:paraId="3582A307" w14:textId="77777777" w:rsidTr="00744076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47778D8" w14:textId="77777777" w:rsidR="00CA5A4A" w:rsidRPr="007D0A03" w:rsidRDefault="00CA5A4A" w:rsidP="00A3676C">
            <w:pPr>
              <w:widowControl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Gestão da Qualidade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663FC98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1ºS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DE0C16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</w:tr>
      <w:tr w:rsidR="00CA5A4A" w:rsidRPr="007D0A03" w14:paraId="6791B10E" w14:textId="77777777" w:rsidTr="00744076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FB500C2" w14:textId="77777777" w:rsidR="00CA5A4A" w:rsidRPr="007D0A03" w:rsidRDefault="00CA5A4A" w:rsidP="00A3676C">
            <w:pPr>
              <w:widowControl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Engenharia Ambiental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DEAFBAE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1ºS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C5F697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</w:tr>
      <w:tr w:rsidR="00CA5A4A" w:rsidRPr="007D0A03" w14:paraId="4978CBD2" w14:textId="77777777" w:rsidTr="00744076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B425ABF" w14:textId="77777777" w:rsidR="00CA5A4A" w:rsidRPr="007D0A03" w:rsidRDefault="00CA5A4A" w:rsidP="00A3676C">
            <w:pPr>
              <w:widowControl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Engenharia de Bioprocessos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BA04A79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1º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55CBD0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</w:tr>
      <w:tr w:rsidR="00CA5A4A" w:rsidRPr="007D0A03" w14:paraId="321E01BA" w14:textId="77777777" w:rsidTr="00744076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A300870" w14:textId="77777777" w:rsidR="00CA5A4A" w:rsidRPr="007D0A03" w:rsidRDefault="00CA5A4A" w:rsidP="00A3676C">
            <w:pPr>
              <w:widowControl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Simulação de Processos Químicos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FC07FA9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2ºS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EE6177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</w:tr>
      <w:tr w:rsidR="00CA5A4A" w:rsidRPr="007D0A03" w14:paraId="4B906908" w14:textId="77777777" w:rsidTr="00744076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434FAD6" w14:textId="77777777" w:rsidR="00CA5A4A" w:rsidRPr="007D0A03" w:rsidRDefault="00CA5A4A" w:rsidP="00A3676C">
            <w:pPr>
              <w:widowControl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Engenharia das Reações de Polimerização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F87BB69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2ºS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2D728D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</w:tr>
      <w:tr w:rsidR="00CA5A4A" w:rsidRPr="007D0A03" w14:paraId="7332970E" w14:textId="77777777" w:rsidTr="00744076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E1A41A0" w14:textId="77777777" w:rsidR="00CA5A4A" w:rsidRPr="007D0A03" w:rsidRDefault="00CA5A4A" w:rsidP="00A3676C">
            <w:pPr>
              <w:widowControl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Estatística Industrial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054A2A4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2º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F04FCF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</w:tr>
      <w:tr w:rsidR="00CA5A4A" w:rsidRPr="007D0A03" w14:paraId="66013658" w14:textId="77777777" w:rsidTr="00744076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6D9F2A3" w14:textId="77777777" w:rsidR="00CA5A4A" w:rsidRPr="007D0A03" w:rsidRDefault="00CA5A4A" w:rsidP="00A3676C">
            <w:pPr>
              <w:widowControl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Estratégia de Processos Químicos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23E4F7A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2º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7BC353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</w:tr>
      <w:tr w:rsidR="00CA5A4A" w:rsidRPr="007D0A03" w14:paraId="2B56343B" w14:textId="77777777" w:rsidTr="00744076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78EBD16" w14:textId="77777777" w:rsidR="00CA5A4A" w:rsidRPr="007D0A03" w:rsidRDefault="00CA5A4A" w:rsidP="00A3676C">
            <w:pPr>
              <w:widowControl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Laboratórios de Eng. Dos Processos Químicos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9F8DD25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2º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89A59" w14:textId="77777777" w:rsidR="00CA5A4A" w:rsidRPr="007D0A03" w:rsidRDefault="00CA5A4A" w:rsidP="00A3676C">
            <w:pPr>
              <w:widowControl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</w:tr>
    </w:tbl>
    <w:p w14:paraId="3CF9EB5A" w14:textId="5F270AA5" w:rsidR="00DA447E" w:rsidRDefault="00DA447E" w:rsidP="00CA5A4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7D046A3" w14:textId="77777777" w:rsidR="00E133D2" w:rsidRDefault="00E133D2" w:rsidP="00CA5A4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F850020" w14:textId="21426AE4" w:rsidR="00E133D2" w:rsidRDefault="00E133D2">
      <w:pPr>
        <w:rPr>
          <w:rFonts w:asciiTheme="majorHAnsi" w:eastAsia="Calibri" w:hAnsiTheme="majorHAnsi" w:cstheme="majorHAnsi"/>
          <w:sz w:val="22"/>
          <w:szCs w:val="22"/>
        </w:rPr>
      </w:pPr>
    </w:p>
    <w:sectPr w:rsidR="00E133D2">
      <w:footerReference w:type="default" r:id="rId8"/>
      <w:pgSz w:w="11906" w:h="16838"/>
      <w:pgMar w:top="1418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F397" w14:textId="77777777" w:rsidR="00F97C40" w:rsidRDefault="00F97C40">
      <w:r>
        <w:separator/>
      </w:r>
    </w:p>
  </w:endnote>
  <w:endnote w:type="continuationSeparator" w:id="0">
    <w:p w14:paraId="040F5C0F" w14:textId="77777777" w:rsidR="00F97C40" w:rsidRDefault="00F9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E04C" w14:textId="46DD9B4E" w:rsidR="00E02F64" w:rsidRDefault="00E02F64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Página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C366E3">
      <w:rPr>
        <w:rFonts w:ascii="Calibri" w:eastAsia="Calibri" w:hAnsi="Calibri" w:cs="Calibri"/>
        <w:noProof/>
      </w:rPr>
      <w:t>14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de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 w:rsidR="00C366E3">
      <w:rPr>
        <w:rFonts w:ascii="Calibri" w:eastAsia="Calibri" w:hAnsi="Calibri" w:cs="Calibri"/>
        <w:noProof/>
      </w:rPr>
      <w:t>15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1027" w14:textId="77777777" w:rsidR="00F97C40" w:rsidRDefault="00F97C40">
      <w:r>
        <w:separator/>
      </w:r>
    </w:p>
  </w:footnote>
  <w:footnote w:type="continuationSeparator" w:id="0">
    <w:p w14:paraId="724D375D" w14:textId="77777777" w:rsidR="00F97C40" w:rsidRDefault="00F97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F28"/>
    <w:multiLevelType w:val="hybridMultilevel"/>
    <w:tmpl w:val="BA1092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74B6"/>
    <w:multiLevelType w:val="multilevel"/>
    <w:tmpl w:val="98D4A1D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2BB44C75"/>
    <w:multiLevelType w:val="hybridMultilevel"/>
    <w:tmpl w:val="0160138C"/>
    <w:lvl w:ilvl="0" w:tplc="A134B624">
      <w:start w:val="20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35FA7F59"/>
    <w:multiLevelType w:val="hybridMultilevel"/>
    <w:tmpl w:val="77A46320"/>
    <w:lvl w:ilvl="0" w:tplc="48D81142">
      <w:start w:val="10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61E42624"/>
    <w:multiLevelType w:val="hybridMultilevel"/>
    <w:tmpl w:val="2890813C"/>
    <w:lvl w:ilvl="0" w:tplc="5032241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4061CE"/>
    <w:multiLevelType w:val="multilevel"/>
    <w:tmpl w:val="B41C2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547823"/>
    <w:multiLevelType w:val="multilevel"/>
    <w:tmpl w:val="73200E4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96028232">
    <w:abstractNumId w:val="1"/>
  </w:num>
  <w:num w:numId="2" w16cid:durableId="600333329">
    <w:abstractNumId w:val="6"/>
  </w:num>
  <w:num w:numId="3" w16cid:durableId="1646814581">
    <w:abstractNumId w:val="2"/>
  </w:num>
  <w:num w:numId="4" w16cid:durableId="1292176816">
    <w:abstractNumId w:val="3"/>
  </w:num>
  <w:num w:numId="5" w16cid:durableId="1952856916">
    <w:abstractNumId w:val="0"/>
  </w:num>
  <w:num w:numId="6" w16cid:durableId="2029061603">
    <w:abstractNumId w:val="4"/>
  </w:num>
  <w:num w:numId="7" w16cid:durableId="160119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10"/>
    <w:rsid w:val="000243CB"/>
    <w:rsid w:val="000560AD"/>
    <w:rsid w:val="00056FB4"/>
    <w:rsid w:val="00066148"/>
    <w:rsid w:val="0008682A"/>
    <w:rsid w:val="00092733"/>
    <w:rsid w:val="000A3CF1"/>
    <w:rsid w:val="00103441"/>
    <w:rsid w:val="00124AF3"/>
    <w:rsid w:val="001840AE"/>
    <w:rsid w:val="00193D50"/>
    <w:rsid w:val="001D560E"/>
    <w:rsid w:val="001D59FA"/>
    <w:rsid w:val="001F4A2C"/>
    <w:rsid w:val="002374AA"/>
    <w:rsid w:val="00243010"/>
    <w:rsid w:val="00255D25"/>
    <w:rsid w:val="0027271F"/>
    <w:rsid w:val="002F7D75"/>
    <w:rsid w:val="00330517"/>
    <w:rsid w:val="00332FA0"/>
    <w:rsid w:val="003753B8"/>
    <w:rsid w:val="0039241F"/>
    <w:rsid w:val="003A4491"/>
    <w:rsid w:val="00402F9A"/>
    <w:rsid w:val="00406951"/>
    <w:rsid w:val="004265EA"/>
    <w:rsid w:val="00444A61"/>
    <w:rsid w:val="00472B4F"/>
    <w:rsid w:val="00482035"/>
    <w:rsid w:val="004977CB"/>
    <w:rsid w:val="004C1EBC"/>
    <w:rsid w:val="004E3056"/>
    <w:rsid w:val="004F29DC"/>
    <w:rsid w:val="00521837"/>
    <w:rsid w:val="00527F29"/>
    <w:rsid w:val="00535D8B"/>
    <w:rsid w:val="0057738D"/>
    <w:rsid w:val="005B2642"/>
    <w:rsid w:val="005C5072"/>
    <w:rsid w:val="005C7D9B"/>
    <w:rsid w:val="00626565"/>
    <w:rsid w:val="00632F18"/>
    <w:rsid w:val="0064110A"/>
    <w:rsid w:val="00662518"/>
    <w:rsid w:val="006F52D8"/>
    <w:rsid w:val="00704253"/>
    <w:rsid w:val="00720D6B"/>
    <w:rsid w:val="00744076"/>
    <w:rsid w:val="00753F47"/>
    <w:rsid w:val="00767875"/>
    <w:rsid w:val="007D0A03"/>
    <w:rsid w:val="007D48F2"/>
    <w:rsid w:val="00822D86"/>
    <w:rsid w:val="00836CA1"/>
    <w:rsid w:val="00876A0E"/>
    <w:rsid w:val="0089137F"/>
    <w:rsid w:val="008B4575"/>
    <w:rsid w:val="008F2F29"/>
    <w:rsid w:val="00914C21"/>
    <w:rsid w:val="0094644C"/>
    <w:rsid w:val="009564C4"/>
    <w:rsid w:val="00995D34"/>
    <w:rsid w:val="009A5345"/>
    <w:rsid w:val="009B037C"/>
    <w:rsid w:val="009B04AC"/>
    <w:rsid w:val="009D719E"/>
    <w:rsid w:val="00A27111"/>
    <w:rsid w:val="00A3676C"/>
    <w:rsid w:val="00A74927"/>
    <w:rsid w:val="00A77F6B"/>
    <w:rsid w:val="00A8487E"/>
    <w:rsid w:val="00AC4399"/>
    <w:rsid w:val="00AE4B52"/>
    <w:rsid w:val="00B25182"/>
    <w:rsid w:val="00B30D4E"/>
    <w:rsid w:val="00B75532"/>
    <w:rsid w:val="00BD607D"/>
    <w:rsid w:val="00BD6221"/>
    <w:rsid w:val="00C23047"/>
    <w:rsid w:val="00C25419"/>
    <w:rsid w:val="00C302F2"/>
    <w:rsid w:val="00C366E3"/>
    <w:rsid w:val="00C569E1"/>
    <w:rsid w:val="00C6158B"/>
    <w:rsid w:val="00C664AF"/>
    <w:rsid w:val="00C80832"/>
    <w:rsid w:val="00CA5A4A"/>
    <w:rsid w:val="00CF6E0D"/>
    <w:rsid w:val="00D45C72"/>
    <w:rsid w:val="00D5437B"/>
    <w:rsid w:val="00D83D88"/>
    <w:rsid w:val="00D95B2D"/>
    <w:rsid w:val="00DA447E"/>
    <w:rsid w:val="00DC545A"/>
    <w:rsid w:val="00DF51AF"/>
    <w:rsid w:val="00E02F64"/>
    <w:rsid w:val="00E133D2"/>
    <w:rsid w:val="00E2127E"/>
    <w:rsid w:val="00E21FB0"/>
    <w:rsid w:val="00E515CC"/>
    <w:rsid w:val="00E7052F"/>
    <w:rsid w:val="00E80234"/>
    <w:rsid w:val="00E87331"/>
    <w:rsid w:val="00E90894"/>
    <w:rsid w:val="00EC1256"/>
    <w:rsid w:val="00EE3576"/>
    <w:rsid w:val="00F00ADA"/>
    <w:rsid w:val="00F34221"/>
    <w:rsid w:val="00F97C40"/>
    <w:rsid w:val="00FA0B81"/>
    <w:rsid w:val="00F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7187"/>
  <w15:docId w15:val="{56739226-A35F-B441-8E31-C1760945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432" w:hanging="432"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jc w:val="center"/>
      <w:outlineLvl w:val="2"/>
    </w:pPr>
    <w:rPr>
      <w:color w:val="000000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converted-space">
    <w:name w:val="apple-converted-space"/>
    <w:uiPriority w:val="99"/>
    <w:rsid w:val="00914C21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0927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2733"/>
  </w:style>
  <w:style w:type="character" w:customStyle="1" w:styleId="TextodecomentrioChar">
    <w:name w:val="Texto de comentário Char"/>
    <w:basedOn w:val="Fontepargpadro"/>
    <w:link w:val="Textodecomentrio"/>
    <w:uiPriority w:val="99"/>
    <w:rsid w:val="0009273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27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2733"/>
    <w:rPr>
      <w:b/>
      <w:bCs/>
    </w:rPr>
  </w:style>
  <w:style w:type="character" w:styleId="Hyperlink">
    <w:name w:val="Hyperlink"/>
    <w:basedOn w:val="Fontepargpadro"/>
    <w:uiPriority w:val="99"/>
    <w:unhideWhenUsed/>
    <w:rsid w:val="00FA0B81"/>
    <w:rPr>
      <w:color w:val="0000FF" w:themeColor="hyperlink"/>
      <w:u w:val="single"/>
    </w:rPr>
  </w:style>
  <w:style w:type="paragraph" w:customStyle="1" w:styleId="Padro">
    <w:name w:val="Padrão"/>
    <w:rsid w:val="00876A0E"/>
    <w:pPr>
      <w:suppressAutoHyphens/>
      <w:spacing w:after="200" w:line="276" w:lineRule="auto"/>
    </w:pPr>
    <w:rPr>
      <w:lang w:eastAsia="zh-CN"/>
    </w:rPr>
  </w:style>
  <w:style w:type="paragraph" w:styleId="PargrafodaLista">
    <w:name w:val="List Paragraph"/>
    <w:basedOn w:val="Padro"/>
    <w:qFormat/>
    <w:rsid w:val="0027271F"/>
    <w:pPr>
      <w:spacing w:after="0"/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27271F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67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76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D6221"/>
  </w:style>
  <w:style w:type="character" w:customStyle="1" w:styleId="textexposedshow">
    <w:name w:val="text_exposed_show"/>
    <w:rsid w:val="00BD6221"/>
  </w:style>
  <w:style w:type="character" w:customStyle="1" w:styleId="MenoPendente1">
    <w:name w:val="Menção Pendente1"/>
    <w:basedOn w:val="Fontepargpadro"/>
    <w:uiPriority w:val="99"/>
    <w:semiHidden/>
    <w:unhideWhenUsed/>
    <w:rsid w:val="000A3CF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A3CF1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4C1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8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8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0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39CA-DBD4-4A5C-98E4-122C8382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</dc:creator>
  <cp:lastModifiedBy>Sarah Honorato Lopes da Silva</cp:lastModifiedBy>
  <cp:revision>3</cp:revision>
  <cp:lastPrinted>2023-08-22T18:07:00Z</cp:lastPrinted>
  <dcterms:created xsi:type="dcterms:W3CDTF">2023-09-01T17:55:00Z</dcterms:created>
  <dcterms:modified xsi:type="dcterms:W3CDTF">2023-09-01T17:56:00Z</dcterms:modified>
</cp:coreProperties>
</file>