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APÊNDICE B – PLANILHA DE PONTUAÇÃO</w:t>
      </w:r>
    </w:p>
    <w:p>
      <w:pPr>
        <w:pStyle w:val="Normal"/>
        <w:spacing w:lineRule="auto" w: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Atenção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spacing w:lineRule="auto" w:line="360"/>
        <w:ind w:left="360" w:hanging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 </w:t>
      </w:r>
      <w:r>
        <w:rPr>
          <w:b/>
          <w:sz w:val="24"/>
          <w:szCs w:val="24"/>
          <w:u w:val="single"/>
        </w:rPr>
        <w:t>Planilha de Pontuação</w:t>
      </w:r>
      <w:r>
        <w:rPr>
          <w:sz w:val="24"/>
          <w:szCs w:val="24"/>
          <w:u w:val="single"/>
        </w:rPr>
        <w:t xml:space="preserve"> desse APÊNDICE é única e exclusivamente para o </w:t>
      </w:r>
      <w:r>
        <w:rPr>
          <w:b/>
          <w:sz w:val="24"/>
          <w:szCs w:val="24"/>
          <w:u w:val="single"/>
        </w:rPr>
        <w:t>Edital PROPPG 15/2023 – BOLSA-TÉCNICO NÍVEL SUPERIOR FUNDAÇÃO ARAUCÁRIA</w:t>
      </w:r>
    </w:p>
    <w:p>
      <w:pPr>
        <w:pStyle w:val="Normal"/>
        <w:numPr>
          <w:ilvl w:val="0"/>
          <w:numId w:val="2"/>
        </w:numPr>
        <w:pBdr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Planilha de Pontuação</w:t>
      </w:r>
      <w:r>
        <w:rPr>
          <w:sz w:val="24"/>
          <w:szCs w:val="24"/>
        </w:rPr>
        <w:t xml:space="preserve"> lista os critérios que serão usados para totalização da pontuação do item 4.4.c do presente Edital.</w:t>
      </w:r>
    </w:p>
    <w:p>
      <w:pPr>
        <w:pStyle w:val="Normal"/>
        <w:pBdr/>
        <w:spacing w:lineRule="auto" w:line="36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favor, leia com atenção as observações a respeito de cada critério. </w:t>
      </w:r>
    </w:p>
    <w:p>
      <w:pPr>
        <w:pStyle w:val="Normal"/>
        <w:pBdr/>
        <w:spacing w:lineRule="auto" w:line="360"/>
        <w:ind w:left="72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 última coluna da Planilha disponibilizada deve ser preenchida pelo proponente.</w:t>
      </w:r>
    </w:p>
    <w:p>
      <w:pPr>
        <w:pStyle w:val="Normal"/>
        <w:pBdr/>
        <w:spacing w:lineRule="auto" w:line="360"/>
        <w:ind w:left="72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Os critérios serão avaliados por escala comparativa. Todas as submissões serão classificadas e à melhor classificada será atribuída a maior pontuação prevista, para cada item avaliado, sendo</w:t>
      </w:r>
      <w:r>
        <w:rPr/>
        <w:t xml:space="preserve"> </w:t>
      </w:r>
      <w:r>
        <w:rPr>
          <w:sz w:val="24"/>
          <w:szCs w:val="24"/>
        </w:rPr>
        <w:t>as demais normalizadas em relação a esta. Em caso de empate, as submissões receberão a mesma pontuação.</w:t>
      </w:r>
    </w:p>
    <w:p>
      <w:pPr>
        <w:pStyle w:val="Normal"/>
        <w:pBdr/>
        <w:spacing w:lineRule="auto" w:line="360"/>
        <w:ind w:left="72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Os documentos comprobatórios solicitados neste APÊNDICE B serão verificados no processo SEI onde consta o relatório anual de atividades de 2022.</w:t>
      </w:r>
    </w:p>
    <w:p>
      <w:pPr>
        <w:pStyle w:val="Normal"/>
        <w:spacing w:lineRule="auto" w:line="360"/>
        <w:ind w:left="72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APÊNDICE B – PLANILHA DE PONTUAÇÃO</w:t>
      </w:r>
    </w:p>
    <w:p>
      <w:pPr>
        <w:pStyle w:val="Normal"/>
        <w:spacing w:lineRule="auto" w:line="360"/>
        <w:ind w:left="3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886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3"/>
        <w:gridCol w:w="2034"/>
        <w:gridCol w:w="3230"/>
        <w:gridCol w:w="3118"/>
      </w:tblGrid>
      <w:tr>
        <w:trPr>
          <w:trHeight w:val="300" w:hRule="atLeast"/>
        </w:trPr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themeFill="background2" w:themeFillShade="e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Indicador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Critério de pontuação*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themeFill="background2" w:themeFillShade="e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Declaração do Proponente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I.1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Registro de utilização de seus serviços.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Soma de horas (considerando todos os equipamentos do laboratório) mediante apresentação de comprovante.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I.2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Quantidade de Programas de Pós Graduação (PPG) que utilizaram o  laboratório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Número de Declarações de orientadores ou das coordenações dos respectivos PPG’s.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I.3 a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Quantidade de Grupos de Pesquisa Certificados que utilizaram o laboratório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Número de Declarações dos líderes de grupo ou prints da página “espelho do grupo” do CNPq.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I.3 b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Quantidade de NAPIs que utilizaram o laboratório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Número de Declarações de líderes ou comprovantes de participação de pesquisadores no referido NAPI (print da página do participante na plataforma iAraucária).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I.4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Quantidade de pesquisadores da UTFPR que usaram o laboratório em 2022 para a realização de Projetos de Pesquisa Científica e Tecnológica, Desenvolvimento tecnológico ou Inovação.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Número de Declarações de pesquisadores internos.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I.5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Quantidade de pesquisadores de outras instituições que usaram o laboratório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Número de Declarações de pesquisadores externos.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I.6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Quantidade de usuários externos (pessoas físicas ou jurídicas) que usaram o serviço do laboratório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Número de Notas fiscais dos serviços prestados ou declarações de usuários indicando os serviços realizados pelo LabMult.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I.7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Montante arrecadado com prestação de serviços e/ou consultorias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Valor total arrecadado comprovado por extrato da FUNTEF contendo os valores arrecadados e/ou extrato da execução da consultoria com comprovantes de utilização dos recursos no LabMult (pagamentos ao pesquisador não serão considerados)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I.8 a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Quantidade de Projetos de Iniciação Científica ou Tecnológica, Mestrado, Doutorado e Projetos de Pós-Doutoramento desenvolvidas com o apoio do laboratório em 2022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Número de Declarações de orientadores de Projetos.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I.8 b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Projetos ou acordos de Cooperação Técnica (em andamento ou concluídas) desenvolvidas com o apoio do laboratório em 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Número de Declarações da DIREC do campus.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I.9 a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Quantidade de produções científicas do tipo TCC publicadas em </w:t>
            </w:r>
            <w:r>
              <w:rPr>
                <w:bCs/>
                <w:color w:val="000000"/>
              </w:rPr>
              <w:t>2022.</w:t>
            </w:r>
          </w:p>
        </w:tc>
        <w:tc>
          <w:tcPr>
            <w:tcW w:w="3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 xml:space="preserve">Número de produção comprovada (link institucional onde está disponibilizada a publicação).*Devem ser indicados </w:t>
            </w:r>
            <w:r>
              <w:rPr>
                <w:u w:val="single"/>
              </w:rPr>
              <w:t>apenas</w:t>
            </w:r>
            <w:r>
              <w:rPr/>
              <w:t xml:space="preserve"> trabalhos onde o LabMult é referenciado (ex: nos agradecimentos ou na metodologia indicando os equipamentos utilizados etc.)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I.9 b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Quantidade de produções científicas do tipo dissertação de mestrado acadêmico ou profissional publicadas em </w:t>
            </w:r>
            <w:r>
              <w:rPr>
                <w:bCs/>
                <w:color w:val="000000"/>
              </w:rPr>
              <w:t>2022.</w:t>
            </w:r>
          </w:p>
        </w:tc>
        <w:tc>
          <w:tcPr>
            <w:tcW w:w="3230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pBdr>
                <w:top w:val="single" w:sz="4" w:space="0" w:color="000000"/>
              </w:pBdr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I.9 c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Quantidade de produções científicas do tipo tese de doutoramento publicadas em </w:t>
            </w:r>
            <w:r>
              <w:rPr>
                <w:bCs/>
                <w:color w:val="000000"/>
              </w:rPr>
              <w:t>2022.</w:t>
            </w:r>
          </w:p>
        </w:tc>
        <w:tc>
          <w:tcPr>
            <w:tcW w:w="3230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I.9 d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Quantidade de produções científicas com SNIP ou JCR, desenvolvidos com o apoio do laboratório e publicadas em </w:t>
            </w:r>
            <w:r>
              <w:rPr>
                <w:bCs/>
                <w:color w:val="000000"/>
              </w:rPr>
              <w:t>2022.</w:t>
            </w:r>
          </w:p>
        </w:tc>
        <w:tc>
          <w:tcPr>
            <w:tcW w:w="323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I.9 e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Quantidade de Patentes depositadas em </w:t>
            </w:r>
            <w:r>
              <w:rPr>
                <w:bCs/>
                <w:color w:val="000000"/>
              </w:rPr>
              <w:t>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Número de Comprovantes de Depósito de Patente.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pBdr>
                <w:top w:val="single" w:sz="4" w:space="0" w:color="000000"/>
              </w:pBdr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I.9 f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Quantidade de Patentes concedidas em </w:t>
            </w:r>
            <w:r>
              <w:rPr>
                <w:bCs/>
                <w:color w:val="000000"/>
              </w:rPr>
              <w:t>2022.</w:t>
            </w:r>
          </w:p>
        </w:tc>
        <w:tc>
          <w:tcPr>
            <w:tcW w:w="3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Número de Comprovantes da Concessão da Patente.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09" w:top="2552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tblpXSpec="center" w:leftFromText="141" w:rightFromText="141" w:tblpY="-71"/>
      <w:tblW w:w="932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63"/>
      <w:gridCol w:w="5282"/>
      <w:gridCol w:w="2377"/>
    </w:tblGrid>
    <w:tr>
      <w:trPr>
        <w:trHeight w:val="1477" w:hRule="atLeast"/>
      </w:trPr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0"/>
                <wp:wrapTight wrapText="bothSides">
                  <wp:wrapPolygon edited="0">
                    <wp:start x="-563" y="0"/>
                    <wp:lineTo x="-563" y="21265"/>
                    <wp:lineTo x="21465" y="21265"/>
                    <wp:lineTo x="21465" y="0"/>
                    <wp:lineTo x="-563" y="0"/>
                  </wp:wrapPolygon>
                </wp:wrapTight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</w:r>
        </w:p>
        <w:p>
          <w:pPr>
            <w:pStyle w:val="Ttulo1"/>
            <w:widowControl w:val="fals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2"/>
            </w:rPr>
          </w:pPr>
          <w:r>
            <w:rPr>
              <w:rFonts w:cs="Arial" w:ascii="Arial" w:hAnsi="Arial"/>
              <w:b/>
              <w:sz w:val="22"/>
            </w:rPr>
            <w:t>Universidade Tecnológica Federal do Paraná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2"/>
            </w:rPr>
          </w:pPr>
          <w:r>
            <w:rPr>
              <w:rFonts w:cs="Arial" w:ascii="Arial" w:hAnsi="Arial"/>
              <w:b/>
              <w:sz w:val="22"/>
            </w:rPr>
            <w:t>Pró-Reitoria de Pesquisa e Pós-Graduação</w:t>
          </w:r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</w:tc>
      <w:tc>
        <w:tcPr>
          <w:tcW w:w="2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  <mc:AlternateContent>
              <mc:Choice Requires="wps">
                <w:drawing>
                  <wp:anchor behindDoc="1" distT="19050" distB="12700" distL="19050" distR="12700" simplePos="0" locked="0" layoutInCell="0" allowOverlap="1" relativeHeight="13" wp14:anchorId="5CE7A6C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5080" t="5080" r="5080" b="5080"/>
                    <wp:wrapNone/>
                    <wp:docPr id="2" name="Retângulo 1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1" path="m0,0l-2147483645,0l-2147483645,-2147483646l0,-2147483646xe" fillcolor="white" stroked="t" o:allowincell="f" style="position:absolute;margin-left:0pt;margin-top:0pt;width:49.95pt;height:49.95pt;mso-wrap-style:none;v-text-anchor:middle" wp14:anchorId="5CE7A6CE">
                    <v:fill o:detectmouseclick="t" type="solid" color2="black"/>
                    <v:stroke color="black" weight="9360" joinstyle="round" endcap="flat"/>
                    <w10:wrap type="none"/>
                  </v:rect>
                </w:pict>
              </mc:Fallback>
            </mc:AlternateContent>
            <w:object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108pt;height:36pt;mso-wrap-distance-right:0pt" filled="f" o:ole="">
                <v:imagedata r:id="rId3" o:title=""/>
              </v:shape>
              <o:OLEObject Type="Embed" ProgID="" ShapeID="ole_rId2" DrawAspect="Content" ObjectID="_544425431" r:id="rId2"/>
            </w:object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1404"/>
        </w:tabs>
        <w:ind w:left="1044" w:hanging="360"/>
      </w:pPr>
      <w:rPr/>
    </w:lvl>
    <w:lvl w:ilvl="1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  <w:rPr/>
    </w:lvl>
    <w:lvl w:ilvl="3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  <w:rPr/>
    </w:lvl>
    <w:lvl w:ilvl="6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TextodenotaderodapChar" w:customStyle="1">
    <w:name w:val="Texto de nota de rodapé Char"/>
    <w:uiPriority w:val="99"/>
    <w:qFormat/>
    <w:rPr>
      <w:sz w:val="18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Applestylespan" w:customStyle="1">
    <w:name w:val="apple-style-span"/>
    <w:basedOn w:val="DefaultParagraphFont"/>
    <w:qFormat/>
    <w:rPr/>
  </w:style>
  <w:style w:type="character" w:styleId="LinkdaInternet" w:customStyle="1">
    <w:name w:val="Hyperlink"/>
    <w:basedOn w:val="DefaultParagraphFont"/>
    <w:rPr>
      <w:b/>
      <w:bCs/>
      <w:strike w:val="false"/>
      <w:dstrike w:val="false"/>
      <w:color w:val="007BA4"/>
      <w:u w:val="none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semiHidden/>
    <w:qFormat/>
    <w:rPr/>
  </w:style>
  <w:style w:type="character" w:styleId="AssuntodocomentrioChar" w:customStyle="1">
    <w:name w:val="Assunto do comentário Char"/>
    <w:basedOn w:val="TextodecomentrioChar"/>
    <w:link w:val="Annotationsubject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Ttulododocument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ao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Notaderodap">
    <w:name w:val="Footnote Text"/>
    <w:basedOn w:val="Normal"/>
    <w:link w:val="TextodenotaderodapChar"/>
    <w:uiPriority w:val="99"/>
    <w:semiHidden/>
    <w:unhideWhenUsed/>
    <w:pPr>
      <w:spacing w:before="0" w:after="40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umrio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Sumrio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Sumrio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Sumrio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Sumrio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Sumrio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Sumrio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umrio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qFormat/>
    <w:pPr>
      <w:spacing w:before="0" w:after="120"/>
      <w:ind w:firstLine="1418"/>
      <w:jc w:val="both"/>
    </w:pPr>
    <w:rPr/>
  </w:style>
  <w:style w:type="paragraph" w:styleId="AItem" w:customStyle="1">
    <w:name w:val="A-Item"/>
    <w:basedOn w:val="Normal"/>
    <w:qFormat/>
    <w:pPr>
      <w:numPr>
        <w:ilvl w:val="0"/>
        <w:numId w:val="1"/>
      </w:numPr>
      <w:spacing w:before="120" w:after="0"/>
      <w:jc w:val="both"/>
    </w:pPr>
    <w:rPr/>
  </w:style>
  <w:style w:type="paragraph" w:styleId="AArtigo" w:customStyle="1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/>
    </w:rPr>
  </w:style>
  <w:style w:type="paragraph" w:styleId="Annotationtext">
    <w:name w:val="annotation text"/>
    <w:basedOn w:val="Normal"/>
    <w:link w:val="TextodecomentrioChar"/>
    <w:semiHidden/>
    <w:qFormat/>
    <w:pPr/>
    <w:rPr/>
  </w:style>
  <w:style w:type="paragraph" w:styleId="CommentSubject1" w:customStyle="1">
    <w:name w:val="Comment Subject1"/>
    <w:basedOn w:val="Annotationtext"/>
    <w:next w:val="Annotationtext"/>
    <w:semiHidden/>
    <w:qFormat/>
    <w:pPr/>
    <w:rPr>
      <w:b/>
      <w:bCs/>
    </w:rPr>
  </w:style>
  <w:style w:type="paragraph" w:styleId="Textodebalo1" w:customStyle="1">
    <w:name w:val="Texto de balão1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pBdr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ombreamentoClaro">
    <w:name w:val="Light Shading"/>
    <w:basedOn w:val="Tabela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47F8-0A9C-44FE-BC1F-ECB40984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2</Pages>
  <Words>583</Words>
  <Characters>3405</Characters>
  <CharactersWithSpaces>3927</CharactersWithSpaces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2021-07-16T19:05:00Z</dcterms:created>
  <dc:creator>proppg</dc:creator>
  <dc:description/>
  <dc:language>pt-BR</dc:language>
  <cp:lastModifiedBy>Mariana Sikora</cp:lastModifiedBy>
  <dcterms:modified xsi:type="dcterms:W3CDTF">2023-01-26T13:51:00Z</dcterms:modified>
  <cp:revision>5</cp:revision>
  <dc:subject/>
  <dc:title>PROGRAMA INSTITUCIONAL DE BOLSA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19961cc1fa8634eab5ee279d4f4e45e8beaeb0c1f122ae4019a4f7052786a4de</vt:lpwstr>
  </property>
</Properties>
</file>